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44CCD6D" w:rsidR="00D6147A" w:rsidRDefault="004E7621" w:rsidP="004E7621">
      <w:hyperlink r:id="rId6" w:history="1">
        <w:r w:rsidRPr="00990ADE">
          <w:rPr>
            <w:rStyle w:val="Collegamentoipertestuale"/>
          </w:rPr>
          <w:t>https://finanza.lastampa.it/News/2025/02/14/sharka-igenius-potenza-di-calcolo-e-fattore-critico-a-livello-economico-e-geopolitico/MTIzXzIwMjUtMDItMTRfVExC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C62D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3331F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4/sharka-igenius-potenza-di-calcolo-e-fattore-critico-a-livello-economico-e-geopolitico/MTIz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2025-02-18T15:33:00Z</dcterms:created>
  <dcterms:modified xsi:type="dcterms:W3CDTF">2025-02-18T15:34:00Z</dcterms:modified>
</cp:coreProperties>
</file>